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学前儿童艺术教育与活动指导</w:t>
      </w:r>
    </w:p>
    <w:p>
      <w:r>
        <w:rPr>
          <w:rFonts w:ascii="宋体" w:hAnsi="宋体" w:eastAsia="宋体"/>
          <w:sz w:val="24"/>
        </w:rPr>
        <w:t>程英主编；叶圣军副主编；编委叶圣军，范铭芝，林珍，黄剑锋，董双红，程英，游万玲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学前儿童艺术教育与活动指导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程英主编；叶圣军副主编；编委叶圣军，范铭芝，林珍，黄剑锋，董双红，程英，游万玲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本书出售、求购地址：https://www.jiaokey.com/book/detail/14009592.html</w:t>
      </w:r>
    </w:p>
    <w:p>
      <w:r>
        <w:t>更多相关图书推荐：https://www.jiaokey.com</w:t>
      </w:r>
    </w:p>
    <w:p>
      <w:r>
        <w:t>程英主编；叶圣军副主编；编委叶圣军，范铭芝，林珍，黄剑锋，董双红，程英，游万玲 其他作品：https://www.jiaokey.com/tag/程英主编；叶圣军副主编；编委叶圣军，范铭芝，林珍，黄剑锋，董双红，程英，游万玲.html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关键词搜索：https://www.jiaokey.com/tag/学前儿童艺术教育与活动指导.html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