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狐狸夫人和狗獾先生  相识</w:t>
      </w:r>
    </w:p>
    <w:p>
      <w:r>
        <w:rPr>
          <w:rFonts w:ascii="宋体" w:hAnsi="宋体" w:eastAsia="宋体"/>
          <w:sz w:val="24"/>
        </w:rPr>
        <w:t>（法）布里吉特·卢西亚尼文；（法）艾娃·塔尔莱图；苏迪译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狐狸夫人和狗獾先生  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（法）布里吉特·卢西亚尼文；（法）艾娃·塔尔莱图；苏迪译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本书出售、求购地址：https://www.jiaokey.com/book/detail/14001800.html</w:t>
      </w:r>
    </w:p>
    <w:p>
      <w:r>
        <w:t>更多相关图书推荐：https://www.jiaokey.com</w:t>
      </w:r>
    </w:p>
    <w:p>
      <w:r>
        <w:t>（法）布里吉特·卢西亚尼文；（法）艾娃·塔尔莱图；苏迪译 其他作品：https://www.jiaokey.com/tag/（法）布里吉特·卢西亚尼文；（法）艾娃·塔尔莱图；苏迪译.html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关键词搜索：https://www.jiaokey.com/tag/狐狸夫人和狗獾先生  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