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“梦魇”系列  人物卷  千秋功罪</w:t>
      </w:r>
    </w:p>
    <w:p>
      <w:r>
        <w:rPr>
          <w:rFonts w:ascii="宋体" w:hAnsi="宋体" w:eastAsia="宋体"/>
          <w:sz w:val="24"/>
        </w:rPr>
        <w:t>解伟责任编辑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“梦魇”系列  人物卷  千秋功罪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解伟责任编辑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本书出售、求购地址：https://www.jiaokey.com/book/detail/14000321.html</w:t>
      </w:r>
    </w:p>
    <w:p>
      <w:r>
        <w:t>更多相关图书推荐：https://www.jiaokey.com</w:t>
      </w:r>
    </w:p>
    <w:p>
      <w:r>
        <w:t>解伟责任编辑 其他作品：https://www.jiaokey.com/tag/解伟责任编辑.html</w:t>
      </w:r>
    </w:p>
    <w:p>
      <w:r>
        <w:t>关键词搜索：https://www.jiaokey.com/tag/“梦魇”系列  人物卷  千秋功罪.html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