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  下</w:t>
      </w:r>
    </w:p>
    <w:p>
      <w:r>
        <w:rPr>
          <w:rFonts w:ascii="宋体" w:hAnsi="宋体" w:eastAsia="宋体"/>
          <w:sz w:val="24"/>
        </w:rPr>
        <w:t>黄擎明，马庆国编著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黄擎明，马庆国编著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福建机械工程编辑委员会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本书出售、求购地址：https://www.jiaokey.com/book/detail/14000229.html</w:t>
      </w:r>
    </w:p>
    <w:p>
      <w:r>
        <w:t>更多相关图书推荐：https://www.jiaokey.com</w:t>
      </w:r>
    </w:p>
    <w:p>
      <w:r>
        <w:t>黄擎明，马庆国编著 其他作品：https://www.jiaokey.com/tag/黄擎明，马庆国编著.html</w:t>
      </w:r>
    </w:p>
    <w:p>
      <w:r>
        <w:t>福建机械工程编辑委员会 出版图书：https://www.jiaokey.com/tag/福建机械工程编辑委员会.html</w:t>
      </w:r>
    </w:p>
    <w:p>
      <w:r>
        <w:t>关键词搜索：https://www.jiaokey.com/tag/技术经济学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