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中国商务中心区发展报告  No.2  2015  “十三五”CBD引领区域协同发展</w:t>
      </w:r>
    </w:p>
    <w:p>
      <w:r>
        <w:rPr>
          <w:rFonts w:ascii="宋体" w:hAnsi="宋体" w:eastAsia="宋体"/>
          <w:sz w:val="24"/>
        </w:rPr>
        <w:t>龙永图，魏后凯荣誉主编；李国红，单菁菁主编；郭亮，武占云副主编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中国商务中心区发展报告  No.2  2015  “十三五”CBD引领区域协同发展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龙永图，魏后凯荣誉主编；李国红，单菁菁主编；郭亮，武占云副主编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本书出售、求购地址：https://www.jiaokey.com/book/detail/13989189.html</w:t>
      </w:r>
    </w:p>
    <w:p>
      <w:r>
        <w:t>更多相关图书推荐：https://www.jiaokey.com</w:t>
      </w:r>
    </w:p>
    <w:p>
      <w:r>
        <w:t>龙永图，魏后凯荣誉主编；李国红，单菁菁主编；郭亮，武占云副主编 其他作品：https://www.jiaokey.com/tag/龙永图，魏后凯荣誉主编；李国红，单菁菁主编；郭亮，武占云副主编.html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关键词搜索：https://www.jiaokey.com/tag/中国商务中心区发展报告  No.2  2015  “十三五”CBD引领区域协同发展.html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