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宁波基层群众工作好案例</w:t>
      </w:r>
    </w:p>
    <w:p>
      <w:r>
        <w:rPr>
          <w:rFonts w:ascii="宋体" w:hAnsi="宋体" w:eastAsia="宋体"/>
          <w:sz w:val="24"/>
        </w:rPr>
        <w:t>杨立平，李春林总策划；贺威平指导；张进中主编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宁波基层群众工作好案例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杨立平，李春林总策划；贺威平指导；张进中主编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本书出售、求购地址：https://www.jiaokey.com/book/detail/13986395.html</w:t>
      </w:r>
    </w:p>
    <w:p>
      <w:r>
        <w:t>更多相关图书推荐：https://www.jiaokey.com</w:t>
      </w:r>
    </w:p>
    <w:p>
      <w:r>
        <w:t>杨立平，李春林总策划；贺威平指导；张进中主编 其他作品：https://www.jiaokey.com/tag/杨立平，李春林总策划；贺威平指导；张进中主编.html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关键词搜索：https://www.jiaokey.com/tag/宁波基层群众工作好案例.html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