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毛诗草木鸟兽虫鱼疏广要  2  及其他二种</w:t>
      </w:r>
    </w:p>
    <w:p>
      <w:r>
        <w:rPr>
          <w:rFonts w:ascii="宋体" w:hAnsi="宋体" w:eastAsia="宋体"/>
          <w:sz w:val="24"/>
        </w:rPr>
        <w:t>陆玑撰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毛诗草木鸟兽虫鱼疏广要  2  及其他二种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本书出售、求购地址：https://www.jiaokey.com/book/detail/13985343.html</w:t>
      </w:r>
    </w:p>
    <w:p>
      <w:r>
        <w:t>更多相关图书推荐：https://www.jiaokey.com</w:t>
      </w:r>
    </w:p>
    <w:p>
      <w:r>
        <w:t>陆玑撰 其他作品：https://www.jiaokey.com/tag/陆玑撰.html</w:t>
      </w:r>
    </w:p>
    <w:p>
      <w:r>
        <w:t>北京：中华书局 出版图书：https://www.jiaokey.com/tag/北京：中华书局.html</w:t>
      </w:r>
    </w:p>
    <w:p>
      <w:r>
        <w:t>关键词搜索：https://www.jiaokey.com/tag/毛诗草木鸟兽虫鱼疏广要  2  及其他二种.html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