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公安机关办理行政案件程序规定解读与适用</w:t>
      </w:r>
    </w:p>
    <w:p>
      <w:r>
        <w:rPr>
          <w:rFonts w:ascii="宋体" w:hAnsi="宋体" w:eastAsia="宋体"/>
          <w:sz w:val="24"/>
        </w:rPr>
        <w:t>熊一新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公安机关办理行政案件程序规定解读与适用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本书出售、求购地址：https://www.jiaokey.com/book/detail/13984982.html</w:t>
      </w:r>
    </w:p>
    <w:p>
      <w:r>
        <w:t>更多相关图书推荐：https://www.jiaokey.com</w:t>
      </w:r>
    </w:p>
    <w:p>
      <w:r>
        <w:t>熊一新 其他作品：https://www.jiaokey.com/tag/熊一新.html</w:t>
      </w:r>
    </w:p>
    <w:p>
      <w:r>
        <w:t>关键词搜索：https://www.jiaokey.com/tag/公安机关办理行政案件程序规定解读与适用.html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