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能源与环境法律政策新观察  2014-2015</w:t>
      </w:r>
    </w:p>
    <w:p>
      <w:r>
        <w:rPr>
          <w:rFonts w:ascii="宋体" w:hAnsi="宋体" w:eastAsia="宋体"/>
          <w:sz w:val="24"/>
        </w:rPr>
        <w:t>浙江阳光时代律所事务所环境资源能源（ERE）研究中心编著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能源与环境法律政策新观察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浙江阳光时代律所事务所环境资源能源（ERE）研究中心编著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本书出售、求购地址：https://www.jiaokey.com/book/detail/13984933.html</w:t>
      </w:r>
    </w:p>
    <w:p>
      <w:r>
        <w:t>更多相关图书推荐：https://www.jiaokey.com</w:t>
      </w:r>
    </w:p>
    <w:p>
      <w:r>
        <w:t>浙江阳光时代律所事务所环境资源能源（ERE）研究中心编著 其他作品：https://www.jiaokey.com/tag/浙江阳光时代律所事务所环境资源能源（ERE）研究中心编著.html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关键词搜索：https://www.jiaokey.com/tag/能源与环境法律政策新观察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