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为中国哲学立法  西方哲学视域中先秦哲学合法性研究</w:t>
      </w:r>
    </w:p>
    <w:p>
      <w:r>
        <w:rPr>
          <w:rFonts w:ascii="宋体" w:hAnsi="宋体" w:eastAsia="宋体"/>
          <w:sz w:val="24"/>
        </w:rPr>
        <w:t>成中英，冯俊主编；中国人民大学国际中国哲学与比较哲学研究中心译；温海明，刘增光校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为中国哲学立法  西方哲学视域中先秦哲学合法性研究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成中英，冯俊主编；中国人民大学国际中国哲学与比较哲学研究中心译；温海明，刘增光校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本书出售、求购地址：https://www.jiaokey.com/book/detail/13984572.html</w:t>
      </w:r>
    </w:p>
    <w:p>
      <w:r>
        <w:t>更多相关图书推荐：https://www.jiaokey.com</w:t>
      </w:r>
    </w:p>
    <w:p>
      <w:r>
        <w:t>成中英，冯俊主编；中国人民大学国际中国哲学与比较哲学研究中心译；温海明，刘增光校 其他作品：https://www.jiaokey.com/tag/成中英，冯俊主编；中国人民大学国际中国哲学与比较哲学研究中心译；温海明，刘增光校.html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关键词搜索：https://www.jiaokey.com/tag/为中国哲学立法  西方哲学视域中先秦哲学合法性研究.html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