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劳动、对象化和美的规律  《1844年经济学  哲学手稿》的美学思想</w:t>
      </w:r>
    </w:p>
    <w:p>
      <w:r>
        <w:rPr>
          <w:rFonts w:ascii="宋体" w:hAnsi="宋体" w:eastAsia="宋体"/>
          <w:sz w:val="24"/>
        </w:rPr>
        <w:t>中共浙江省委党哲学教研室，陶济编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劳动、对象化和美的规律  《1844年经济学  哲学手稿》的美学思想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中共浙江省委党哲学教研室，陶济编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本书出售、求购地址：https://www.jiaokey.com/book/detail/13984504.html</w:t>
      </w:r>
    </w:p>
    <w:p>
      <w:r>
        <w:t>更多相关图书推荐：https://www.jiaokey.com</w:t>
      </w:r>
    </w:p>
    <w:p>
      <w:r>
        <w:t>中共浙江省委党哲学教研室，陶济编 其他作品：https://www.jiaokey.com/tag/中共浙江省委党哲学教研室，陶济编.html</w:t>
      </w:r>
    </w:p>
    <w:p>
      <w:r>
        <w:t>关键词搜索：https://www.jiaokey.com/tag/劳动、对象化和美的规律  《1844年经济学  哲学手稿》的美学思想.html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