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转型升级新跨越  我与维修处同发展</w:t>
      </w:r>
    </w:p>
    <w:p>
      <w:r>
        <w:rPr>
          <w:rFonts w:ascii="宋体" w:hAnsi="宋体" w:eastAsia="宋体"/>
          <w:sz w:val="24"/>
        </w:rPr>
        <w:t>广州市市政工程维修处编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转型升级新跨越  我与维修处同发展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广州市市政工程维修处编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本书出售、求购地址：https://www.jiaokey.com/book/detail/13981917.html</w:t>
      </w:r>
    </w:p>
    <w:p>
      <w:r>
        <w:t>更多相关图书推荐：https://www.jiaokey.com</w:t>
      </w:r>
    </w:p>
    <w:p>
      <w:r>
        <w:t>广州市市政工程维修处编 其他作品：https://www.jiaokey.com/tag/广州市市政工程维修处编.html</w:t>
      </w:r>
    </w:p>
    <w:p>
      <w:r>
        <w:t>广州：羊城晚报 出版图书：https://www.jiaokey.com/tag/广州：羊城晚报.html</w:t>
      </w:r>
    </w:p>
    <w:p>
      <w:r>
        <w:t>关键词搜索：https://www.jiaokey.com/tag/转型升级新跨越  我与维修处同发展.html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