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3D打印技术指南  建模、原型设计与打印的实战技巧</w:t>
      </w:r>
    </w:p>
    <w:p>
      <w:r>
        <w:rPr>
          <w:rFonts w:ascii="宋体" w:hAnsi="宋体" w:eastAsia="宋体"/>
          <w:sz w:val="24"/>
        </w:rPr>
        <w:t>（美）JOAN HORVATH著；张佳进，张悦，谭雅青，陈立畅，杨彦鑫，阳厚森译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3D打印技术指南  建模、原型设计与打印的实战技巧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 HORVATH著；张佳进，张悦，谭雅青，陈立畅，杨彦鑫，阳厚森译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本书出售、求购地址：https://www.jiaokey.com/book/detail/13976947.html</w:t>
      </w:r>
    </w:p>
    <w:p>
      <w:r>
        <w:t>更多相关图书推荐：https://www.jiaokey.com</w:t>
      </w:r>
    </w:p>
    <w:p>
      <w:r>
        <w:t>（美）JOAN HORVATH著；张佳进，张悦，谭雅青，陈立畅，杨彦鑫，阳厚森译 其他作品：https://www.jiaokey.com/tag/（美）JOAN HORVATH著；张佳进，张悦，谭雅青，陈立畅，杨彦鑫，阳厚森译.html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关键词搜索：https://www.jiaokey.com/tag/3D打印技术指南  建模、原型设计与打印的实战技巧.html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