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无力年代的有力书写  2012年台湾人权报告</w:t>
      </w:r>
    </w:p>
    <w:p>
      <w:r>
        <w:rPr>
          <w:rFonts w:ascii="宋体" w:hAnsi="宋体" w:eastAsia="宋体"/>
          <w:sz w:val="24"/>
        </w:rPr>
        <w:t>吴豪人，李佳玟主编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无力年代的有力书写  2012年台湾人权报告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吴豪人，李佳玟主编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台湾人权促进会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本书出售、求购地址：https://www.jiaokey.com/book/detail/13976436.html</w:t>
      </w:r>
    </w:p>
    <w:p>
      <w:r>
        <w:t>更多相关图书推荐：https://www.jiaokey.com</w:t>
      </w:r>
    </w:p>
    <w:p>
      <w:r>
        <w:t>吴豪人，李佳玟主编 其他作品：https://www.jiaokey.com/tag/吴豪人，李佳玟主编.html</w:t>
      </w:r>
    </w:p>
    <w:p>
      <w:r>
        <w:t>台湾人权促进会 出版图书：https://www.jiaokey.com/tag/台湾人权促进会.html</w:t>
      </w:r>
    </w:p>
    <w:p>
      <w:r>
        <w:t>关键词搜索：https://www.jiaokey.com/tag/无力年代的有力书写  2012年台湾人权报告.html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