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凄风苦雨  从文物看日占香港</w:t>
      </w:r>
    </w:p>
    <w:p>
      <w:r>
        <w:rPr>
          <w:rFonts w:ascii="宋体" w:hAnsi="宋体" w:eastAsia="宋体"/>
          <w:sz w:val="24"/>
        </w:rPr>
        <w:t>唐卓敏著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凄风苦雨  从文物看日占香港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唐卓敏著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本书出售、求购地址：https://www.jiaokey.com/book/detail/13976379.html</w:t>
      </w:r>
    </w:p>
    <w:p>
      <w:r>
        <w:t>更多相关图书推荐：https://www.jiaokey.com</w:t>
      </w:r>
    </w:p>
    <w:p>
      <w:r>
        <w:t>唐卓敏著 其他作品：https://www.jiaokey.com/tag/唐卓敏著.html</w:t>
      </w:r>
    </w:p>
    <w:p>
      <w:r>
        <w:t>中华书局（香港）有限公司 出版图书：https://www.jiaokey.com/tag/中华书局（香港）有限公司.html</w:t>
      </w:r>
    </w:p>
    <w:p>
      <w:r>
        <w:t>关键词搜索：https://www.jiaokey.com/tag/凄风苦雨  从文物看日占香港.html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