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城市生态建设环境绩效评估导则技术指南</w:t>
      </w:r>
    </w:p>
    <w:p>
      <w:r>
        <w:rPr>
          <w:rFonts w:ascii="宋体" w:hAnsi="宋体" w:eastAsia="宋体"/>
          <w:sz w:val="24"/>
        </w:rPr>
        <w:t>汪光熹，焦舰，蔡云楠主编；北京市建筑高能效与城市生态工程技术研究中心组织编写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城市生态建设环境绩效评估导则技术指南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汪光熹，焦舰，蔡云楠主编；北京市建筑高能效与城市生态工程技术研究中心组织编写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本书出售、求购地址：https://www.jiaokey.com/book/detail/13972587.html</w:t>
      </w:r>
    </w:p>
    <w:p>
      <w:r>
        <w:t>更多相关图书推荐：https://www.jiaokey.com</w:t>
      </w:r>
    </w:p>
    <w:p>
      <w:r>
        <w:t>汪光熹，焦舰，蔡云楠主编；北京市建筑高能效与城市生态工程技术研究中心组织编写 其他作品：https://www.jiaokey.com/tag/汪光熹，焦舰，蔡云楠主编；北京市建筑高能效与城市生态工程技术研究中心组织编写.html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关键词搜索：https://www.jiaokey.com/tag/城市生态建设环境绩效评估导则技术指南.html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