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史物丛刊  22  台湾水墨画创作与环境因素志研究</w:t>
      </w:r>
    </w:p>
    <w:p>
      <w:r>
        <w:rPr>
          <w:rFonts w:ascii="宋体" w:hAnsi="宋体" w:eastAsia="宋体"/>
          <w:sz w:val="24"/>
        </w:rPr>
        <w:t>黄光男著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史物丛刊  22  台湾水墨画创作与环境因素志研究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本书出售、求购地址：https://www.jiaokey.com/book/detail/13972471.html</w:t>
      </w:r>
    </w:p>
    <w:p>
      <w:r>
        <w:t>更多相关图书推荐：https://www.jiaokey.com</w:t>
      </w:r>
    </w:p>
    <w:p>
      <w:r>
        <w:t>黄光男著 其他作品：https://www.jiaokey.com/tag/黄光男著.html</w:t>
      </w:r>
    </w:p>
    <w:p>
      <w:r>
        <w:t>国家历史博物馆 出版图书：https://www.jiaokey.com/tag/国家历史博物馆.html</w:t>
      </w:r>
    </w:p>
    <w:p>
      <w:r>
        <w:t>关键词搜索：https://www.jiaokey.com/tag/史物丛刊  22  台湾水墨画创作与环境因素志研究.html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