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私人银行与财富管理  领先的创新逻辑与实务方法</w:t>
      </w:r>
    </w:p>
    <w:p>
      <w:r>
        <w:rPr>
          <w:rFonts w:ascii="宋体" w:hAnsi="宋体" w:eastAsia="宋体"/>
          <w:sz w:val="24"/>
        </w:rPr>
        <w:t>（英）戴维·莫德著；刘立达，严晗，付饶译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私人银行与财富管理  领先的创新逻辑与实务方法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（英）戴维·莫德著；刘立达，严晗，付饶译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私人投资-银行业务-研究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本书出售、求购地址：https://www.jiaokey.com/book/detail/13969414.html</w:t>
      </w:r>
    </w:p>
    <w:p>
      <w:r>
        <w:t>更多相关图书推荐：https://www.jiaokey.com</w:t>
      </w:r>
    </w:p>
    <w:p>
      <w:r>
        <w:t>（英）戴维·莫德著；刘立达，严晗，付饶译 其他作品：https://www.jiaokey.com/tag/（英）戴维·莫德著；刘立达，严晗，付饶译.html</w:t>
      </w:r>
    </w:p>
    <w:p>
      <w:r>
        <w:t>关键词搜索：https://www.jiaokey.com/tag/私人投资-银行业务-研究.html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