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入世后的中国警察  世贸规则下的警察行为</w:t>
      </w:r>
    </w:p>
    <w:p>
      <w:r>
        <w:rPr>
          <w:rFonts w:ascii="宋体" w:hAnsi="宋体" w:eastAsia="宋体"/>
          <w:sz w:val="24"/>
        </w:rPr>
        <w:t>黄建明主编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入世后的中国警察  世贸规则下的警察行为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本书出售、求购地址：https://www.jiaokey.com/book/detail/13968413.html</w:t>
      </w:r>
    </w:p>
    <w:p>
      <w:r>
        <w:t>更多相关图书推荐：https://www.jiaokey.com</w:t>
      </w:r>
    </w:p>
    <w:p>
      <w:r>
        <w:t>黄建明主编 其他作品：https://www.jiaokey.com/tag/黄建明主编.html</w:t>
      </w:r>
    </w:p>
    <w:p>
      <w:r>
        <w:t>关键词搜索：https://www.jiaokey.com/tag/入世后的中国警察  世贸规则下的警察行为.html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