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果树病虫草害原色图解</w:t>
      </w:r>
    </w:p>
    <w:p>
      <w:r>
        <w:rPr>
          <w:rFonts w:ascii="宋体" w:hAnsi="宋体" w:eastAsia="宋体"/>
          <w:sz w:val="24"/>
        </w:rPr>
        <w:t>封洪强，李卫华，倪云霞等主编；李洪连，张振臣，武予清等副主编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果树病虫草害原色图解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封洪强，李卫华，倪云霞等主编；李洪连，张振臣，武予清等副主编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本书出售、求购地址：https://www.jiaokey.com/book/detail/13967958.html</w:t>
      </w:r>
    </w:p>
    <w:p>
      <w:r>
        <w:t>更多相关图书推荐：https://www.jiaokey.com</w:t>
      </w:r>
    </w:p>
    <w:p>
      <w:r>
        <w:t>封洪强，李卫华，倪云霞等主编；李洪连，张振臣，武予清等副主编 其他作品：https://www.jiaokey.com/tag/封洪强，李卫华，倪云霞等主编；李洪连，张振臣，武予清等副主编.html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关键词搜索：https://www.jiaokey.com/tag/果树病虫草害原色图解.html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