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公司重组操作指南</w:t>
      </w:r>
    </w:p>
    <w:p>
      <w:r>
        <w:rPr>
          <w:rFonts w:ascii="宋体" w:hAnsi="宋体" w:eastAsia="宋体"/>
          <w:sz w:val="24"/>
        </w:rPr>
        <w:t>弗朗西斯科·J.洛佩兹·卢比昂原著；苏同华翻译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公司重组操作指南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弗朗西斯科·J.洛佩兹·卢比昂原著；苏同华翻译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本书出售、求购地址：https://www.jiaokey.com/book/detail/13966680.html</w:t>
      </w:r>
    </w:p>
    <w:p>
      <w:r>
        <w:t>更多相关图书推荐：https://www.jiaokey.com</w:t>
      </w:r>
    </w:p>
    <w:p>
      <w:r>
        <w:t>弗朗西斯科·J.洛佩兹·卢比昂原著；苏同华翻译 其他作品：https://www.jiaokey.com/tag/弗朗西斯科·J.洛佩兹·卢比昂原著；苏同华翻译.html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关键词搜索：https://www.jiaokey.com/tag/公司重组操作指南.html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