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  当代水彩</w:t>
      </w:r>
    </w:p>
    <w:p>
      <w:r>
        <w:rPr>
          <w:rFonts w:ascii="宋体" w:hAnsi="宋体" w:eastAsia="宋体"/>
          <w:sz w:val="24"/>
        </w:rPr>
        <w:t>窦凤至，侯安智主编；孙小娥，昌隽如，李同舟副主编；李伟松，姜广宇，单虹，胡彦飞等参编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  当代水彩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窦凤至，侯安智主编；孙小娥，昌隽如，李同舟副主编；李伟松，姜广宇，单虹，胡彦飞等参编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本书出售、求购地址：https://www.jiaokey.com/book/detail/13966275.html</w:t>
      </w:r>
    </w:p>
    <w:p>
      <w:r>
        <w:t>更多相关图书推荐：https://www.jiaokey.com</w:t>
      </w:r>
    </w:p>
    <w:p>
      <w:r>
        <w:t>窦凤至，侯安智主编；孙小娥，昌隽如，李同舟副主编；李伟松，姜广宇，单虹，胡彦飞等参编 其他作品：https://www.jiaokey.com/tag/窦凤至，侯安智主编；孙小娥，昌隽如，李同舟副主编；李伟松，姜广宇，单虹，胡彦飞等参编.html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关键词搜索：https://www.jiaokey.com/tag/材料  当代水彩.html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