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冲突与融合  中国老年歧视的现状  根源与公共政策构建</w:t>
      </w:r>
    </w:p>
    <w:p>
      <w:r>
        <w:rPr>
          <w:rFonts w:ascii="宋体" w:hAnsi="宋体" w:eastAsia="宋体"/>
          <w:sz w:val="24"/>
        </w:rPr>
        <w:t>吴帆著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冲突与融合  中国老年歧视的现状  根源与公共政策构建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本书出售、求购地址：https://www.jiaokey.com/book/detail/13965891.html</w:t>
      </w:r>
    </w:p>
    <w:p>
      <w:r>
        <w:t>更多相关图书推荐：https://www.jiaokey.com</w:t>
      </w:r>
    </w:p>
    <w:p>
      <w:r>
        <w:t>吴帆著 其他作品：https://www.jiaokey.com/tag/吴帆著.html</w:t>
      </w:r>
    </w:p>
    <w:p>
      <w:r>
        <w:t>关键词搜索：https://www.jiaokey.com/tag/冲突与融合  中国老年歧视的现状  根源与公共政策构建.html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