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特色旅游农家乐餐饮经营</w:t>
      </w:r>
    </w:p>
    <w:p>
      <w:r>
        <w:rPr>
          <w:rFonts w:ascii="宋体" w:hAnsi="宋体" w:eastAsia="宋体"/>
          <w:sz w:val="24"/>
        </w:rPr>
        <w:t>段仕洪，谢雨萍主编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特色旅游农家乐餐饮经营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段仕洪，谢雨萍主编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本书出售、求购地址：https://www.jiaokey.com/book/detail/13965863.html</w:t>
      </w:r>
    </w:p>
    <w:p>
      <w:r>
        <w:t>更多相关图书推荐：https://www.jiaokey.com</w:t>
      </w:r>
    </w:p>
    <w:p>
      <w:r>
        <w:t>段仕洪，谢雨萍主编 其他作品：https://www.jiaokey.com/tag/段仕洪，谢雨萍主编.html</w:t>
      </w:r>
    </w:p>
    <w:p>
      <w:r>
        <w:t>北京：中国农业科学技术出版社 出版图书：https://www.jiaokey.com/tag/北京：中国农业科学技术出版社.html</w:t>
      </w:r>
    </w:p>
    <w:p>
      <w:r>
        <w:t>关键词搜索：https://www.jiaokey.com/tag/特色旅游农家乐餐饮经营.html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