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不动产登记暂行条例实施细则释义</w:t>
      </w:r>
    </w:p>
    <w:p>
      <w:r>
        <w:rPr>
          <w:rFonts w:ascii="宋体" w:hAnsi="宋体" w:eastAsia="宋体"/>
          <w:sz w:val="24"/>
        </w:rPr>
        <w:t>国土资源部不动产登记中心（国土资源部法律事务中心）编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不动产登记暂行条例实施细则释义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国土资源部不动产登记中心（国土资源部法律事务中心）编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本书出售、求购地址：https://www.jiaokey.com/book/detail/13965546.html</w:t>
      </w:r>
    </w:p>
    <w:p>
      <w:r>
        <w:t>更多相关图书推荐：https://www.jiaokey.com</w:t>
      </w:r>
    </w:p>
    <w:p>
      <w:r>
        <w:t>国土资源部不动产登记中心（国土资源部法律事务中心）编 其他作品：https://www.jiaokey.com/tag/国土资源部不动产登记中心（国土资源部法律事务中心）编.html</w:t>
      </w:r>
    </w:p>
    <w:p>
      <w:r>
        <w:t>关键词搜索：https://www.jiaokey.com/tag/不动产登记暂行条例实施细则释义.html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