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2005当代中青年国画家邀请展·传承与融合</w:t>
      </w:r>
    </w:p>
    <w:p>
      <w:r>
        <w:rPr>
          <w:rFonts w:ascii="宋体" w:hAnsi="宋体" w:eastAsia="宋体"/>
          <w:sz w:val="24"/>
        </w:rPr>
        <w:t>马剑编著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2005当代中青年国画家邀请展·传承与融合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本书出售、求购地址：https://www.jiaokey.com/book/detail/13965322.html</w:t>
      </w:r>
    </w:p>
    <w:p>
      <w:r>
        <w:t>更多相关图书推荐：https://www.jiaokey.com</w:t>
      </w:r>
    </w:p>
    <w:p>
      <w:r>
        <w:t>马剑编著 其他作品：https://www.jiaokey.com/tag/马剑编著.html</w:t>
      </w:r>
    </w:p>
    <w:p>
      <w:r>
        <w:t>关键词搜索：https://www.jiaokey.com/tag/2005当代中青年国画家邀请展·传承与融合.html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