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意大利文艺复兴-历史与现实性</w:t>
      </w:r>
    </w:p>
    <w:p>
      <w:r>
        <w:rPr>
          <w:rFonts w:ascii="宋体" w:hAnsi="宋体" w:eastAsia="宋体"/>
          <w:sz w:val="24"/>
        </w:rPr>
        <w:t>中国意大利文学学会，大连艺术职业学院，意大利驻中国大使馆文化处编；吕同六等著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意大利文艺复兴-历史与现实性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中国意大利文学学会，大连艺术职业学院，意大利驻中国大使馆文化处编；吕同六等著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本书出售、求购地址：https://www.jiaokey.com/book/detail/13962376.html</w:t>
      </w:r>
    </w:p>
    <w:p>
      <w:r>
        <w:t>更多相关图书推荐：https://www.jiaokey.com</w:t>
      </w:r>
    </w:p>
    <w:p>
      <w:r>
        <w:t>中国意大利文学学会，大连艺术职业学院，意大利驻中国大使馆文化处编；吕同六等著 其他作品：https://www.jiaokey.com/tag/中国意大利文学学会，大连艺术职业学院，意大利驻中国大使馆文化处编；吕同六等著.html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关键词搜索：https://www.jiaokey.com/tag/意大利文艺复兴-历史与现实性.html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