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HTML与XML程序设计案例教程</w:t>
      </w:r>
    </w:p>
    <w:p>
      <w:r>
        <w:rPr>
          <w:rFonts w:ascii="宋体" w:hAnsi="宋体" w:eastAsia="宋体"/>
          <w:sz w:val="24"/>
        </w:rPr>
        <w:t>王鑫，包海山主编；秦海龙，刘玉芩副主编；赵俊岚主审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HTML与XML程序设计案例教程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王鑫，包海山主编；秦海龙，刘玉芩副主编；赵俊岚主审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本书出售、求购地址：https://www.jiaokey.com/book/detail/13961838.html</w:t>
      </w:r>
    </w:p>
    <w:p>
      <w:r>
        <w:t>更多相关图书推荐：https://www.jiaokey.com</w:t>
      </w:r>
    </w:p>
    <w:p>
      <w:r>
        <w:t>王鑫，包海山主编；秦海龙，刘玉芩副主编；赵俊岚主审 其他作品：https://www.jiaokey.com/tag/王鑫，包海山主编；秦海龙，刘玉芩副主编；赵俊岚主审.html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关键词搜索：https://www.jiaokey.com/tag/“十二五”职业教育国家规划教材  HTML与XML程序设计案例教程.html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