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传媒法规与伦理</w:t>
      </w:r>
    </w:p>
    <w:p>
      <w:r>
        <w:rPr>
          <w:rFonts w:ascii="宋体" w:hAnsi="宋体" w:eastAsia="宋体"/>
          <w:sz w:val="24"/>
        </w:rPr>
        <w:t>王炎龙编著；仲呈祥，王丹彦总顾问；李跃森总主编；游浩总策划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传媒法规与伦理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王炎龙编著；仲呈祥，王丹彦总顾问；李跃森总主编；游浩总策划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本书出售、求购地址：https://www.jiaokey.com/book/detail/13961569.html</w:t>
      </w:r>
    </w:p>
    <w:p>
      <w:r>
        <w:t>更多相关图书推荐：https://www.jiaokey.com</w:t>
      </w:r>
    </w:p>
    <w:p>
      <w:r>
        <w:t>王炎龙编著；仲呈祥，王丹彦总顾问；李跃森总主编；游浩总策划 其他作品：https://www.jiaokey.com/tag/王炎龙编著；仲呈祥，王丹彦总顾问；李跃森总主编；游浩总策划.html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关键词搜索：https://www.jiaokey.com/tag/传媒法规与伦理.html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