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正义的前沿</w:t>
      </w:r>
    </w:p>
    <w:p>
      <w:r>
        <w:rPr>
          <w:rFonts w:ascii="宋体" w:hAnsi="宋体" w:eastAsia="宋体"/>
          <w:sz w:val="24"/>
        </w:rPr>
        <w:t>（美）玛莎·C·纳斯鲍姆（MARTHA C·NUSSBAUM）著；朱慧玲，谢惠媛，陈文娟译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（美）玛莎·C·纳斯鲍姆（MARTHA C·NUSSBAUM）著；朱慧玲，谢惠媛，陈文娟译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本书出售、求购地址：https://www.jiaokey.com/book/detail/13960836.html</w:t>
      </w:r>
    </w:p>
    <w:p>
      <w:r>
        <w:t>更多相关图书推荐：https://www.jiaokey.com</w:t>
      </w:r>
    </w:p>
    <w:p>
      <w:r>
        <w:t>（美）玛莎·C·纳斯鲍姆（MARTHA C·NUSSBAUM）著；朱慧玲，谢惠媛，陈文娟译 其他作品：https://www.jiaokey.com/tag/（美）玛莎·C·纳斯鲍姆（MARTHA C·NUSSBAUM）著；朱慧玲，谢惠媛，陈文娟译.html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关键词搜索：https://www.jiaokey.com/tag/正义的前沿.html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