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行政诉讼法原理与实务</w:t>
      </w:r>
    </w:p>
    <w:p>
      <w:r>
        <w:rPr>
          <w:rFonts w:ascii="宋体" w:hAnsi="宋体" w:eastAsia="宋体"/>
          <w:sz w:val="24"/>
        </w:rPr>
        <w:t>欧元军主编；刘靖华副主编；欧元军，万春梅，刘靖华，朱勇，郭昕撰稿人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欧元军主编；刘靖华副主编；欧元军，万春梅，刘靖华，朱勇，郭昕撰稿人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本书出售、求购地址：https://www.jiaokey.com/book/detail/13960674.html</w:t>
      </w:r>
    </w:p>
    <w:p>
      <w:r>
        <w:t>更多相关图书推荐：https://www.jiaokey.com</w:t>
      </w:r>
    </w:p>
    <w:p>
      <w:r>
        <w:t>欧元军主编；刘靖华副主编；欧元军，万春梅，刘靖华，朱勇，郭昕撰稿人 其他作品：https://www.jiaokey.com/tag/欧元军主编；刘靖华副主编；欧元军，万春梅，刘靖华，朱勇，郭昕撰稿人.html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关键词搜索：https://www.jiaokey.com/tag/行政诉讼法原理与实务.html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