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抗战的新形势与新策略</w:t>
      </w:r>
    </w:p>
    <w:p>
      <w:r>
        <w:rPr>
          <w:rFonts w:ascii="宋体" w:hAnsi="宋体" w:eastAsia="宋体"/>
          <w:sz w:val="24"/>
        </w:rPr>
        <w:t>周恩来等著；张亿敏编辑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抗战的新形势与新策略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周恩来等著；张亿敏编辑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本书出售、求购地址：https://www.jiaokey.com/book/detail/13956250.html</w:t>
      </w:r>
    </w:p>
    <w:p>
      <w:r>
        <w:t>更多相关图书推荐：https://www.jiaokey.com</w:t>
      </w:r>
    </w:p>
    <w:p>
      <w:r>
        <w:t>周恩来等著；张亿敏编辑 其他作品：https://www.jiaokey.com/tag/周恩来等著；张亿敏编辑.html</w:t>
      </w:r>
    </w:p>
    <w:p>
      <w:r>
        <w:t>天马书店 出版图书：https://www.jiaokey.com/tag/天马书店.html</w:t>
      </w:r>
    </w:p>
    <w:p>
      <w:r>
        <w:t>关键词搜索：https://www.jiaokey.com/tag/抗战的新形势与新策略.html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