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TJAD建筑工程设计技术导则丛书  酒店建筑设计导则</w:t>
      </w:r>
    </w:p>
    <w:p>
      <w:r>
        <w:rPr>
          <w:rFonts w:ascii="宋体" w:hAnsi="宋体" w:eastAsia="宋体"/>
          <w:sz w:val="24"/>
        </w:rPr>
        <w:t>同济大学建筑设计研究院（集团）有限公司组织编写；陈剑秋，王健编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TJAD建筑工程设计技术导则丛书  酒店建筑设计导则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同济大学建筑设计研究院（集团）有限公司组织编写；陈剑秋，王健编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本书出售、求购地址：https://www.jiaokey.com/book/detail/13954889.html</w:t>
      </w:r>
    </w:p>
    <w:p>
      <w:r>
        <w:t>更多相关图书推荐：https://www.jiaokey.com</w:t>
      </w:r>
    </w:p>
    <w:p>
      <w:r>
        <w:t>同济大学建筑设计研究院（集团）有限公司组织编写；陈剑秋，王健编 其他作品：https://www.jiaokey.com/tag/同济大学建筑设计研究院（集团）有限公司组织编写；陈剑秋，王健编.html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关键词搜索：https://www.jiaokey.com/tag/TJAD建筑工程设计技术导则丛书  酒店建筑设计导则.html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