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战火纷飞的年代</w:t>
      </w:r>
    </w:p>
    <w:p>
      <w:r>
        <w:rPr>
          <w:rFonts w:ascii="宋体" w:hAnsi="宋体" w:eastAsia="宋体"/>
          <w:sz w:val="24"/>
        </w:rPr>
        <w:t>祥山编绘；施华谨英译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战火纷飞的年代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祥山编绘；施华谨英译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菲律宾华支退伍军人总会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本书出售、求购地址：https://www.jiaokey.com/book/detail/13954293.html</w:t>
      </w:r>
    </w:p>
    <w:p>
      <w:r>
        <w:t>更多相关图书推荐：https://www.jiaokey.com</w:t>
      </w:r>
    </w:p>
    <w:p>
      <w:r>
        <w:t>祥山编绘；施华谨英译 其他作品：https://www.jiaokey.com/tag/祥山编绘；施华谨英译.html</w:t>
      </w:r>
    </w:p>
    <w:p>
      <w:r>
        <w:t>菲律宾华支退伍军人总会 出版图书：https://www.jiaokey.com/tag/菲律宾华支退伍军人总会.html</w:t>
      </w:r>
    </w:p>
    <w:p>
      <w:r>
        <w:t>关键词搜索：https://www.jiaokey.com/tag/战火纷飞的年代.html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