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法律援助案例研究</w:t>
      </w:r>
    </w:p>
    <w:p>
      <w:r>
        <w:rPr>
          <w:rFonts w:ascii="宋体" w:hAnsi="宋体" w:eastAsia="宋体"/>
          <w:sz w:val="24"/>
        </w:rPr>
        <w:t>司法部法律援助中心编；白萍主编；桑宁，郑自文副主编；汪进联，杨勇，解玉俊，李广良等编辑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司法部法律援助中心编；白萍主编；桑宁，郑自文副主编；汪进联，杨勇，解玉俊，李广良等编辑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本书出售、求购地址：https://www.jiaokey.com/book/detail/13953761.html</w:t>
      </w:r>
    </w:p>
    <w:p>
      <w:r>
        <w:t>更多相关图书推荐：https://www.jiaokey.com</w:t>
      </w:r>
    </w:p>
    <w:p>
      <w:r>
        <w:t>司法部法律援助中心编；白萍主编；桑宁，郑自文副主编；汪进联，杨勇，解玉俊，李广良等编辑 其他作品：https://www.jiaokey.com/tag/司法部法律援助中心编；白萍主编；桑宁，郑自文副主编；汪进联，杨勇，解玉俊，李广良等编辑.html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关键词搜索：https://www.jiaokey.com/tag/法律援助案例研究.html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