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新常态新动力  “十三五”经济增长动力机制研究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新常态新动力  “十三五”经济增长动力机制研究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本书出售、求购地址：https://www.jiaokey.com/book/detail/13953346.html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关键词搜索：https://www.jiaokey.com/tag/新常态新动力  “十三五”经济增长动力机制研究.html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