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建设法规  第3版</w:t>
      </w:r>
    </w:p>
    <w:p>
      <w:r>
        <w:rPr>
          <w:rFonts w:ascii="宋体" w:hAnsi="宋体" w:eastAsia="宋体"/>
          <w:sz w:val="24"/>
        </w:rPr>
        <w:t>李永福，史伟利主编；辛翠香，万克淑，高会芹，李祥军等编写；王平主审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建设法规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李永福，史伟利主编；辛翠香，万克淑，高会芹，李祥军等编写；王平主审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本书出售、求购地址：https://www.jiaokey.com/book/detail/13950276.html</w:t>
      </w:r>
    </w:p>
    <w:p>
      <w:r>
        <w:t>更多相关图书推荐：https://www.jiaokey.com</w:t>
      </w:r>
    </w:p>
    <w:p>
      <w:r>
        <w:t>李永福，史伟利主编；辛翠香，万克淑，高会芹，李祥军等编写；王平主审 其他作品：https://www.jiaokey.com/tag/李永福，史伟利主编；辛翠香，万克淑，高会芹，李祥军等编写；王平主审.html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建设法规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