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建筑业营改增</w:t>
      </w:r>
    </w:p>
    <w:p>
      <w:r>
        <w:rPr>
          <w:rFonts w:ascii="宋体" w:hAnsi="宋体" w:eastAsia="宋体"/>
          <w:sz w:val="24"/>
        </w:rPr>
        <w:t>秦玉文主编；王春龙，薛克庆，卞显敏副主编；中国建设会计学总策划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建筑业营改增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秦玉文主编；王春龙，薛克庆，卞显敏副主编；中国建设会计学总策划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本书出售、求购地址：https://www.jiaokey.com/book/detail/13950179.html</w:t>
      </w:r>
    </w:p>
    <w:p>
      <w:r>
        <w:t>更多相关图书推荐：https://www.jiaokey.com</w:t>
      </w:r>
    </w:p>
    <w:p>
      <w:r>
        <w:t>秦玉文主编；王春龙，薛克庆，卞显敏副主编；中国建设会计学总策划 其他作品：https://www.jiaokey.com/tag/秦玉文主编；王春龙，薛克庆，卞显敏副主编；中国建设会计学总策划.html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关键词搜索：https://www.jiaokey.com/tag/建筑业营改增.html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