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水资源综合管理</w:t>
      </w:r>
    </w:p>
    <w:p>
      <w:r>
        <w:rPr>
          <w:rFonts w:ascii="宋体" w:hAnsi="宋体" w:eastAsia="宋体"/>
          <w:sz w:val="24"/>
        </w:rPr>
        <w:t>全球水伙伴技术顾问委员会著；全球水伙伴中国委员会（GLOBAL WATER PARTNERSHIP CHINA）译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全球水伙伴技术顾问委员会著；全球水伙伴中国委员会（GLOBAL WATER PARTNERSHIP CHINA）译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本书出售、求购地址：https://www.jiaokey.com/book/detail/13947894.html</w:t>
      </w:r>
    </w:p>
    <w:p>
      <w:r>
        <w:t>更多相关图书推荐：https://www.jiaokey.com</w:t>
      </w:r>
    </w:p>
    <w:p>
      <w:r>
        <w:t>全球水伙伴技术顾问委员会著；全球水伙伴中国委员会（GLOBAL WATER PARTNERSHIP CHINA）译 其他作品：https://www.jiaokey.com/tag/全球水伙伴技术顾问委员会著；全球水伙伴中国委员会（GLOBAL WATER PARTNERSHIP CHINA）译.html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