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法兰西近代画史</w:t>
      </w:r>
    </w:p>
    <w:p>
      <w:r>
        <w:rPr>
          <w:rFonts w:ascii="宋体" w:hAnsi="宋体" w:eastAsia="宋体"/>
          <w:sz w:val="24"/>
        </w:rPr>
        <w:t>（日）板垣鹰穗著；许达译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法兰西近代画史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（日）板垣鹰穗著；许达译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文华美术图书印刷公司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本书出售、求购地址：https://www.jiaokey.com/book/detail/13946108.html</w:t>
      </w:r>
    </w:p>
    <w:p>
      <w:r>
        <w:t>更多相关图书推荐：https://www.jiaokey.com</w:t>
      </w:r>
    </w:p>
    <w:p>
      <w:r>
        <w:t>（日）板垣鹰穗著；许达译 其他作品：https://www.jiaokey.com/tag/（日）板垣鹰穗著；许达译.html</w:t>
      </w:r>
    </w:p>
    <w:p>
      <w:r>
        <w:t>文华美术图书印刷公司 出版图书：https://www.jiaokey.com/tag/文华美术图书印刷公司.html</w:t>
      </w:r>
    </w:p>
    <w:p>
      <w:r>
        <w:t>关键词搜索：https://www.jiaokey.com/tag/法兰西近代画史.html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