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建筑企业如何应付“营改增”</w:t>
      </w:r>
    </w:p>
    <w:p>
      <w:r>
        <w:rPr>
          <w:rFonts w:ascii="宋体" w:hAnsi="宋体" w:eastAsia="宋体"/>
          <w:sz w:val="24"/>
        </w:rPr>
        <w:t>李福如，包顺东，何成旗，曹佳毅，于维，韩爱生编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建筑企业如何应付“营改增”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李福如，包顺东，何成旗，曹佳毅，于维，韩爱生编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本书出售、求购地址：https://www.jiaokey.com/book/detail/13944787.html</w:t>
      </w:r>
    </w:p>
    <w:p>
      <w:r>
        <w:t>更多相关图书推荐：https://www.jiaokey.com</w:t>
      </w:r>
    </w:p>
    <w:p>
      <w:r>
        <w:t>李福如，包顺东，何成旗，曹佳毅，于维，韩爱生编 其他作品：https://www.jiaokey.com/tag/李福如，包顺东，何成旗，曹佳毅，于维，韩爱生编.html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关键词搜索：https://www.jiaokey.com/tag/建筑企业如何应付“营改增”.html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