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网络综合布线</w:t>
      </w:r>
    </w:p>
    <w:p>
      <w:r>
        <w:rPr>
          <w:rFonts w:ascii="宋体" w:hAnsi="宋体" w:eastAsia="宋体"/>
          <w:sz w:val="24"/>
        </w:rPr>
        <w:t>何胤，游祖会主编；王晚竹，陶洪建，罗勇，唐丽均副主编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何胤，游祖会主编；王晚竹，陶洪建，罗勇，唐丽均副主编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本书出售、求购地址：https://www.jiaokey.com/book/detail/13944692.html</w:t>
      </w:r>
    </w:p>
    <w:p>
      <w:r>
        <w:t>更多相关图书推荐：https://www.jiaokey.com</w:t>
      </w:r>
    </w:p>
    <w:p>
      <w:r>
        <w:t>何胤，游祖会主编；王晚竹，陶洪建，罗勇，唐丽均副主编 其他作品：https://www.jiaokey.com/tag/何胤，游祖会主编；王晚竹，陶洪建，罗勇，唐丽均副主编.html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关键词搜索：https://www.jiaokey.com/tag/高等职业教育“十三五”规划教材  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