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现代世界作家论</w:t>
      </w:r>
    </w:p>
    <w:p>
      <w:r>
        <w:rPr>
          <w:rFonts w:ascii="宋体" w:hAnsi="宋体" w:eastAsia="宋体"/>
          <w:sz w:val="24"/>
        </w:rPr>
        <w:t>杨翼侃，陈彝荪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杨翼侃，陈彝荪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汉文正楷印书局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本书出售、求购地址：https://www.jiaokey.com/book/detail/13942978.html</w:t>
      </w:r>
    </w:p>
    <w:p>
      <w:r>
        <w:t>更多相关图书推荐：https://www.jiaokey.com</w:t>
      </w:r>
    </w:p>
    <w:p>
      <w:r>
        <w:t>杨翼侃，陈彝荪 其他作品：https://www.jiaokey.com/tag/杨翼侃，陈彝荪.html</w:t>
      </w:r>
    </w:p>
    <w:p>
      <w:r>
        <w:t>汉文正楷印书局 出版图书：https://www.jiaokey.com/tag/汉文正楷印书局.html</w:t>
      </w:r>
    </w:p>
    <w:p>
      <w:r>
        <w:t>关键词搜索：https://www.jiaokey.com/tag/现代世界作家论.html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