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两年来之货物税</w:t>
      </w:r>
    </w:p>
    <w:p>
      <w:r>
        <w:rPr>
          <w:rFonts w:ascii="宋体" w:hAnsi="宋体" w:eastAsia="宋体"/>
          <w:sz w:val="24"/>
        </w:rPr>
        <w:t>姜书阁编述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两年来之货物税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财政部税务署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本书出售、求购地址：https://www.jiaokey.com/book/detail/13942958.html</w:t>
      </w:r>
    </w:p>
    <w:p>
      <w:r>
        <w:t>更多相关图书推荐：https://www.jiaokey.com</w:t>
      </w:r>
    </w:p>
    <w:p>
      <w:r>
        <w:t>姜书阁编述 其他作品：https://www.jiaokey.com/tag/姜书阁编述.html</w:t>
      </w:r>
    </w:p>
    <w:p>
      <w:r>
        <w:t>财政部税务署 出版图书：https://www.jiaokey.com/tag/财政部税务署.html</w:t>
      </w:r>
    </w:p>
    <w:p>
      <w:r>
        <w:t>关键词搜索：https://www.jiaokey.com/tag/两年来之货物税.html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