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阿里·法拉比思想与现代社会</w:t>
      </w:r>
    </w:p>
    <w:p>
      <w:r>
        <w:rPr>
          <w:rFonts w:ascii="宋体" w:hAnsi="宋体" w:eastAsia="宋体"/>
          <w:sz w:val="24"/>
        </w:rPr>
        <w:t>（哈萨克斯坦）噶·木·木塔诺夫主编；李发元，余源，桂亮译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阿里·法拉比思想与现代社会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（哈萨克斯坦）噶·木·木塔诺夫主编；李发元，余源，桂亮译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本书出售、求购地址：https://www.jiaokey.com/book/detail/13942307.html</w:t>
      </w:r>
    </w:p>
    <w:p>
      <w:r>
        <w:t>更多相关图书推荐：https://www.jiaokey.com</w:t>
      </w:r>
    </w:p>
    <w:p>
      <w:r>
        <w:t>（哈萨克斯坦）噶·木·木塔诺夫主编；李发元，余源，桂亮译 其他作品：https://www.jiaokey.com/tag/（哈萨克斯坦）噶·木·木塔诺夫主编；李发元，余源，桂亮译.html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关键词搜索：https://www.jiaokey.com/tag/阿里·法拉比思想与现代社会.html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