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高同型半胱氨酸血症基础与临床</w:t>
      </w:r>
    </w:p>
    <w:p>
      <w:r>
        <w:rPr>
          <w:rFonts w:ascii="宋体" w:hAnsi="宋体" w:eastAsia="宋体"/>
          <w:sz w:val="24"/>
        </w:rPr>
        <w:t>姜怡邓，张鸣号主编；聂黎虹，张慧萍，马胜超副主编；王楠等编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高同型半胱氨酸血症基础与临床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姜怡邓，张鸣号主编；聂黎虹，张慧萍，马胜超副主编；王楠等编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本书出售、求购地址：https://www.jiaokey.com/book/detail/13939787.html</w:t>
      </w:r>
    </w:p>
    <w:p>
      <w:r>
        <w:t>更多相关图书推荐：https://www.jiaokey.com</w:t>
      </w:r>
    </w:p>
    <w:p>
      <w:r>
        <w:t>姜怡邓，张鸣号主编；聂黎虹，张慧萍，马胜超副主编；王楠等编 其他作品：https://www.jiaokey.com/tag/姜怡邓，张鸣号主编；聂黎虹，张慧萍，马胜超副主编；王楠等编.html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关键词搜索：https://www.jiaokey.com/tag/高同型半胱氨酸血症基础与临床.html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