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长江上游航道整治建筑物水毁机理及检测修复技术</w:t>
      </w:r>
    </w:p>
    <w:p>
      <w:r>
        <w:rPr>
          <w:rFonts w:ascii="宋体" w:hAnsi="宋体" w:eastAsia="宋体"/>
          <w:sz w:val="24"/>
        </w:rPr>
        <w:t>王平义，杨成渝，喻涛，李晶，张明进，付中敏著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长江上游航道整治建筑物水毁机理及检测修复技术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王平义，杨成渝，喻涛，李晶，张明进，付中敏著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本书出售、求购地址：https://www.jiaokey.com/book/detail/13938570.html</w:t>
      </w:r>
    </w:p>
    <w:p>
      <w:r>
        <w:t>更多相关图书推荐：https://www.jiaokey.com</w:t>
      </w:r>
    </w:p>
    <w:p>
      <w:r>
        <w:t>王平义，杨成渝，喻涛，李晶，张明进，付中敏著 其他作品：https://www.jiaokey.com/tag/王平义，杨成渝，喻涛，李晶，张明进，付中敏著.html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关键词搜索：https://www.jiaokey.com/tag/长江上游航道整治建筑物水毁机理及检测修复技术.html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