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翰墨东莞  总第1期</w:t>
      </w:r>
    </w:p>
    <w:p>
      <w:r>
        <w:rPr>
          <w:rFonts w:ascii="宋体" w:hAnsi="宋体" w:eastAsia="宋体"/>
          <w:sz w:val="24"/>
        </w:rPr>
        <w:t>东莞市政协主办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翰墨东莞  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东莞市政协书画艺术交流促进会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本书出售、求购地址：https://www.jiaokey.com/book/detail/13938118.html</w:t>
      </w:r>
    </w:p>
    <w:p>
      <w:r>
        <w:t>更多相关图书推荐：https://www.jiaokey.com</w:t>
      </w:r>
    </w:p>
    <w:p>
      <w:r>
        <w:t>东莞市政协主办 其他作品：https://www.jiaokey.com/tag/东莞市政协主办.html</w:t>
      </w:r>
    </w:p>
    <w:p>
      <w:r>
        <w:t>东莞市政协书画艺术交流促进会 出版图书：https://www.jiaokey.com/tag/东莞市政协书画艺术交流促进会.html</w:t>
      </w:r>
    </w:p>
    <w:p>
      <w:r>
        <w:t>关键词搜索：https://www.jiaokey.com/tag/翰墨东莞  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