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游击电影  微电影制作指南</w:t>
      </w:r>
    </w:p>
    <w:p>
      <w:r>
        <w:rPr>
          <w:rFonts w:ascii="宋体" w:hAnsi="宋体" w:eastAsia="宋体"/>
          <w:sz w:val="24"/>
        </w:rPr>
        <w:t>（法）热罗姆·热内夫雷著；曹轶译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游击电影  微电影制作指南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（法）热罗姆·热内夫雷著；曹轶译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本书出售、求购地址：https://www.jiaokey.com/book/detail/13937988.html</w:t>
      </w:r>
    </w:p>
    <w:p>
      <w:r>
        <w:t>更多相关图书推荐：https://www.jiaokey.com</w:t>
      </w:r>
    </w:p>
    <w:p>
      <w:r>
        <w:t>（法）热罗姆·热内夫雷著；曹轶译 其他作品：https://www.jiaokey.com/tag/（法）热罗姆·热内夫雷著；曹轶译.html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关键词搜索：https://www.jiaokey.com/tag/游击电影  微电影制作指南.html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