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MATLAB原理及应用及案例教程</w:t>
      </w:r>
    </w:p>
    <w:p>
      <w:r>
        <w:rPr>
          <w:rFonts w:ascii="宋体" w:hAnsi="宋体" w:eastAsia="宋体"/>
          <w:sz w:val="24"/>
        </w:rPr>
        <w:t>苏庆堂主编；巩艳华，白艳梅，吕高焕副主编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MATLAB原理及应用及案例教程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苏庆堂主编；巩艳华，白艳梅，吕高焕副主编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本书出售、求购地址：https://www.jiaokey.com/book/detail/13937390.html</w:t>
      </w:r>
    </w:p>
    <w:p>
      <w:r>
        <w:t>更多相关图书推荐：https://www.jiaokey.com</w:t>
      </w:r>
    </w:p>
    <w:p>
      <w:r>
        <w:t>苏庆堂主编；巩艳华，白艳梅，吕高焕副主编 其他作品：https://www.jiaokey.com/tag/苏庆堂主编；巩艳华，白艳梅，吕高焕副主编.html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关键词搜索：https://www.jiaokey.com/tag/MATLAB原理及应用及案例教程.html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